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76AA" w14:textId="77777777" w:rsidR="00774CEA" w:rsidRPr="00765ADF" w:rsidRDefault="00000000">
      <w:pPr>
        <w:spacing w:after="81" w:line="259" w:lineRule="auto"/>
        <w:ind w:left="1644" w:firstLine="0"/>
        <w:rPr>
          <w:b/>
          <w:bCs/>
        </w:rPr>
      </w:pPr>
      <w:r w:rsidRPr="00765ADF">
        <w:rPr>
          <w:b/>
          <w:bCs/>
          <w:color w:val="EE0000"/>
          <w:sz w:val="36"/>
        </w:rPr>
        <w:t xml:space="preserve">DISCIPLINARY PENALTY ASSESSMENT (DPA) </w:t>
      </w:r>
      <w:r w:rsidRPr="00765ADF">
        <w:rPr>
          <w:b/>
          <w:bCs/>
          <w:sz w:val="36"/>
          <w:vertAlign w:val="subscript"/>
        </w:rPr>
        <w:t xml:space="preserve"> </w:t>
      </w:r>
    </w:p>
    <w:p w14:paraId="41552B74" w14:textId="77777777" w:rsidR="00774CEA" w:rsidRDefault="00000000">
      <w:pPr>
        <w:spacing w:after="269" w:line="259" w:lineRule="auto"/>
        <w:ind w:left="2587" w:firstLine="0"/>
      </w:pPr>
      <w:r>
        <w:rPr>
          <w:sz w:val="27"/>
        </w:rPr>
        <w:t xml:space="preserve">Discipline Doesn’t Fail on Facts. It Fails on Penalty. </w:t>
      </w:r>
      <w:r>
        <w:t xml:space="preserve"> </w:t>
      </w:r>
    </w:p>
    <w:p w14:paraId="7B70D6DB" w14:textId="77777777" w:rsidR="00774CEA" w:rsidRPr="00765ADF" w:rsidRDefault="00000000" w:rsidP="00C945FF">
      <w:pPr>
        <w:spacing w:after="0" w:line="259" w:lineRule="auto"/>
        <w:rPr>
          <w:b/>
          <w:bCs/>
        </w:rPr>
      </w:pPr>
      <w:r w:rsidRPr="00765ADF">
        <w:rPr>
          <w:b/>
          <w:bCs/>
          <w:color w:val="EE0000"/>
          <w:sz w:val="28"/>
        </w:rPr>
        <w:t xml:space="preserve">Most discipline cases don’t fail because management </w:t>
      </w:r>
      <w:proofErr w:type="gramStart"/>
      <w:r w:rsidRPr="00765ADF">
        <w:rPr>
          <w:b/>
          <w:bCs/>
          <w:color w:val="EE0000"/>
          <w:sz w:val="28"/>
        </w:rPr>
        <w:t>lacked</w:t>
      </w:r>
      <w:proofErr w:type="gramEnd"/>
      <w:r w:rsidRPr="00765ADF">
        <w:rPr>
          <w:b/>
          <w:bCs/>
          <w:color w:val="EE0000"/>
          <w:sz w:val="28"/>
        </w:rPr>
        <w:t xml:space="preserve"> a reason. </w:t>
      </w:r>
      <w:r w:rsidRPr="00765ADF">
        <w:rPr>
          <w:b/>
          <w:bCs/>
        </w:rPr>
        <w:t xml:space="preserve"> </w:t>
      </w:r>
    </w:p>
    <w:p w14:paraId="32EF87F8" w14:textId="77777777" w:rsidR="00774CEA" w:rsidRDefault="00000000">
      <w:pPr>
        <w:spacing w:after="0" w:line="259" w:lineRule="auto"/>
        <w:ind w:left="14" w:firstLine="0"/>
      </w:pPr>
      <w:r>
        <w:rPr>
          <w:sz w:val="28"/>
        </w:rPr>
        <w:t xml:space="preserve"> </w:t>
      </w:r>
      <w:r>
        <w:t xml:space="preserve"> </w:t>
      </w:r>
    </w:p>
    <w:p w14:paraId="2A400B0A" w14:textId="77777777" w:rsidR="00774CEA" w:rsidRPr="00765ADF" w:rsidRDefault="00000000">
      <w:pPr>
        <w:spacing w:after="317"/>
        <w:ind w:left="9"/>
        <w:rPr>
          <w:rFonts w:ascii="Verdana Pro" w:hAnsi="Verdana Pro"/>
          <w:sz w:val="20"/>
          <w:szCs w:val="20"/>
        </w:rPr>
      </w:pPr>
      <w:r w:rsidRPr="00765ADF">
        <w:rPr>
          <w:rFonts w:ascii="Verdana Pro" w:hAnsi="Verdana Pro"/>
          <w:sz w:val="20"/>
          <w:szCs w:val="20"/>
        </w:rPr>
        <w:t xml:space="preserve">They failed because the penalty could not withstand arbitration scrutiny. Arbitrators evaluate discipline using a penalty “scorecard” based on the </w:t>
      </w:r>
      <w:r w:rsidRPr="00133A4D">
        <w:rPr>
          <w:rFonts w:ascii="Verdana Pro" w:hAnsi="Verdana Pro"/>
          <w:b/>
          <w:bCs/>
          <w:sz w:val="20"/>
          <w:szCs w:val="20"/>
          <w:u w:val="single" w:color="000000"/>
        </w:rPr>
        <w:t>Seventh Principle of Just Cause</w:t>
      </w:r>
      <w:r w:rsidRPr="00765ADF">
        <w:rPr>
          <w:rFonts w:ascii="Verdana Pro" w:hAnsi="Verdana Pro"/>
          <w:sz w:val="20"/>
          <w:szCs w:val="20"/>
        </w:rPr>
        <w:t xml:space="preserve">—whether the penalty is reasonably related to the offense and the employee’s overall record, including aggravating and mitigating factors. They do not replace their judgment for managements unless there is a just-cause defect—the McCoy boundary line. This two-hour, management-focused webinar teaches the same analytical framework arbitrators use, allowing you to test penalty risk before discipline is imposed.  </w:t>
      </w:r>
    </w:p>
    <w:p w14:paraId="75F43F38" w14:textId="77777777" w:rsidR="00774CEA" w:rsidRPr="00765ADF" w:rsidRDefault="00000000">
      <w:pPr>
        <w:spacing w:after="0" w:line="259" w:lineRule="auto"/>
        <w:ind w:left="-5"/>
        <w:rPr>
          <w:b/>
          <w:bCs/>
        </w:rPr>
      </w:pPr>
      <w:r w:rsidRPr="00C945FF">
        <w:rPr>
          <w:b/>
          <w:bCs/>
          <w:color w:val="0D0D0D" w:themeColor="text1" w:themeTint="F2"/>
          <w:sz w:val="24"/>
        </w:rPr>
        <w:t>IN TWO HOURS, YOU WILL LEARN HOW TO</w:t>
      </w:r>
      <w:r w:rsidRPr="00765ADF">
        <w:rPr>
          <w:b/>
          <w:bCs/>
          <w:sz w:val="24"/>
        </w:rPr>
        <w:t xml:space="preserve">: </w:t>
      </w:r>
      <w:r w:rsidRPr="00765ADF">
        <w:rPr>
          <w:b/>
          <w:bCs/>
        </w:rPr>
        <w:t xml:space="preserve"> </w:t>
      </w:r>
    </w:p>
    <w:p w14:paraId="078A7854" w14:textId="34921F67" w:rsidR="00D60F56" w:rsidRPr="00AA2165" w:rsidRDefault="00000000" w:rsidP="00AA2165">
      <w:pPr>
        <w:numPr>
          <w:ilvl w:val="0"/>
          <w:numId w:val="1"/>
        </w:numPr>
        <w:ind w:hanging="360"/>
        <w:rPr>
          <w:rFonts w:ascii="Verdana Pro" w:hAnsi="Verdana Pro"/>
          <w:color w:val="0D0D0D" w:themeColor="text1" w:themeTint="F2"/>
          <w:sz w:val="20"/>
          <w:szCs w:val="20"/>
        </w:rPr>
      </w:pPr>
      <w:r w:rsidRPr="00D45065">
        <w:rPr>
          <w:rFonts w:ascii="Verdana Pro" w:hAnsi="Verdana Pro"/>
          <w:color w:val="0D0D0D" w:themeColor="text1" w:themeTint="F2"/>
          <w:sz w:val="20"/>
          <w:szCs w:val="20"/>
        </w:rPr>
        <w:t xml:space="preserve">Conduct a Disciplinary Penalty Assessment (DPA)  </w:t>
      </w:r>
    </w:p>
    <w:p w14:paraId="0C94F3CD" w14:textId="77777777" w:rsidR="00774CEA" w:rsidRPr="00D45065" w:rsidRDefault="00000000">
      <w:pPr>
        <w:numPr>
          <w:ilvl w:val="0"/>
          <w:numId w:val="1"/>
        </w:numPr>
        <w:ind w:hanging="360"/>
        <w:rPr>
          <w:rFonts w:ascii="Verdana Pro" w:hAnsi="Verdana Pro"/>
          <w:color w:val="0D0D0D" w:themeColor="text1" w:themeTint="F2"/>
          <w:sz w:val="20"/>
          <w:szCs w:val="20"/>
        </w:rPr>
      </w:pPr>
      <w:r w:rsidRPr="00D45065">
        <w:rPr>
          <w:rFonts w:ascii="Verdana Pro" w:hAnsi="Verdana Pro"/>
          <w:color w:val="0D0D0D" w:themeColor="text1" w:themeTint="F2"/>
          <w:sz w:val="20"/>
          <w:szCs w:val="20"/>
        </w:rPr>
        <w:t xml:space="preserve">Identify aggravating and mitigating factors that affect outcomes  </w:t>
      </w:r>
    </w:p>
    <w:p w14:paraId="4959C980" w14:textId="77777777" w:rsidR="00774CEA" w:rsidRPr="00D45065" w:rsidRDefault="00000000">
      <w:pPr>
        <w:numPr>
          <w:ilvl w:val="0"/>
          <w:numId w:val="1"/>
        </w:numPr>
        <w:ind w:hanging="360"/>
        <w:rPr>
          <w:rFonts w:ascii="Verdana Pro" w:hAnsi="Verdana Pro"/>
          <w:color w:val="0D0D0D" w:themeColor="text1" w:themeTint="F2"/>
          <w:sz w:val="20"/>
          <w:szCs w:val="20"/>
        </w:rPr>
      </w:pPr>
      <w:r w:rsidRPr="00D45065">
        <w:rPr>
          <w:rFonts w:ascii="Verdana Pro" w:hAnsi="Verdana Pro"/>
          <w:color w:val="0D0D0D" w:themeColor="text1" w:themeTint="F2"/>
          <w:sz w:val="20"/>
          <w:szCs w:val="20"/>
        </w:rPr>
        <w:t xml:space="preserve">Apply proportionality, total record, internal consistency/past practice, and corrective vs. punitive discipline defensibly  </w:t>
      </w:r>
    </w:p>
    <w:p w14:paraId="14941F06" w14:textId="77777777" w:rsidR="00774CEA" w:rsidRPr="00D45065" w:rsidRDefault="00000000">
      <w:pPr>
        <w:numPr>
          <w:ilvl w:val="0"/>
          <w:numId w:val="1"/>
        </w:numPr>
        <w:ind w:hanging="360"/>
        <w:rPr>
          <w:rFonts w:ascii="Verdana Pro" w:hAnsi="Verdana Pro"/>
          <w:color w:val="0D0D0D" w:themeColor="text1" w:themeTint="F2"/>
          <w:sz w:val="20"/>
          <w:szCs w:val="20"/>
        </w:rPr>
      </w:pPr>
      <w:r w:rsidRPr="00D45065">
        <w:rPr>
          <w:rFonts w:ascii="Verdana Pro" w:hAnsi="Verdana Pro"/>
          <w:color w:val="0D0D0D" w:themeColor="text1" w:themeTint="F2"/>
          <w:sz w:val="20"/>
          <w:szCs w:val="20"/>
        </w:rPr>
        <w:t xml:space="preserve">Avoid reversals caused by excessive or inconsistent penalties  </w:t>
      </w:r>
    </w:p>
    <w:p w14:paraId="1176F5C2" w14:textId="77777777" w:rsidR="00774CEA" w:rsidRDefault="00000000">
      <w:pPr>
        <w:spacing w:after="19" w:line="259" w:lineRule="auto"/>
        <w:ind w:left="734" w:firstLine="0"/>
      </w:pPr>
      <w:r>
        <w:rPr>
          <w:sz w:val="21"/>
        </w:rPr>
        <w:t xml:space="preserve"> </w:t>
      </w:r>
      <w:r>
        <w:t xml:space="preserve"> </w:t>
      </w:r>
    </w:p>
    <w:p w14:paraId="1BBEDF62" w14:textId="77777777" w:rsidR="00774CEA" w:rsidRDefault="00000000">
      <w:pPr>
        <w:spacing w:after="268"/>
        <w:ind w:left="9"/>
      </w:pPr>
      <w:r w:rsidRPr="00C945FF">
        <w:rPr>
          <w:b/>
          <w:bCs/>
          <w:color w:val="0D0D0D" w:themeColor="text1" w:themeTint="F2"/>
        </w:rPr>
        <w:t>WHO SHOULD ATTEND</w:t>
      </w:r>
      <w:r w:rsidRPr="00765ADF">
        <w:rPr>
          <w:b/>
          <w:bCs/>
          <w:color w:val="EE0000"/>
        </w:rPr>
        <w:t>:</w:t>
      </w:r>
      <w:r>
        <w:rPr>
          <w:color w:val="EE0000"/>
        </w:rPr>
        <w:t xml:space="preserve"> </w:t>
      </w:r>
      <w:r w:rsidRPr="00765ADF">
        <w:rPr>
          <w:rFonts w:ascii="Verdana Pro" w:hAnsi="Verdana Pro"/>
          <w:sz w:val="20"/>
          <w:szCs w:val="20"/>
        </w:rPr>
        <w:t>Managers and supervisors with disciplinary authority, Human Resources, Labor Relations professionals, and Management representatives handling grievances or arbitration.</w:t>
      </w:r>
      <w:r>
        <w:rPr>
          <w:color w:val="EE0000"/>
        </w:rPr>
        <w:t xml:space="preserve"> </w:t>
      </w:r>
      <w:r>
        <w:t xml:space="preserve"> </w:t>
      </w:r>
    </w:p>
    <w:p w14:paraId="048C6628" w14:textId="77777777" w:rsidR="00774CEA" w:rsidRPr="00C945FF" w:rsidRDefault="00000000">
      <w:pPr>
        <w:pStyle w:val="Heading1"/>
        <w:rPr>
          <w:b/>
          <w:bCs/>
          <w:color w:val="0D0D0D" w:themeColor="text1" w:themeTint="F2"/>
        </w:rPr>
      </w:pPr>
      <w:r w:rsidRPr="00C945FF">
        <w:rPr>
          <w:b/>
          <w:bCs/>
          <w:color w:val="0D0D0D" w:themeColor="text1" w:themeTint="F2"/>
        </w:rPr>
        <w:t xml:space="preserve">WHY IT MATTERS  </w:t>
      </w:r>
    </w:p>
    <w:p w14:paraId="1937BED0" w14:textId="77777777" w:rsidR="00774CEA" w:rsidRPr="00765ADF" w:rsidRDefault="00000000">
      <w:pPr>
        <w:ind w:left="9"/>
        <w:rPr>
          <w:rFonts w:ascii="Verdana Pro" w:hAnsi="Verdana Pro"/>
          <w:sz w:val="20"/>
          <w:szCs w:val="20"/>
        </w:rPr>
      </w:pPr>
      <w:r w:rsidRPr="00765ADF">
        <w:rPr>
          <w:rFonts w:ascii="Verdana Pro" w:hAnsi="Verdana Pro"/>
          <w:sz w:val="20"/>
          <w:szCs w:val="20"/>
        </w:rPr>
        <w:t xml:space="preserve">Because penalty mistakes—not misconduct—cause grievances, arbitration losses, and damage management credibility. DPA is the penalty stress test that predicts—before the grievance—whether your discipline will withstand the Seventh Principle.  </w:t>
      </w:r>
    </w:p>
    <w:p w14:paraId="0A9FE079" w14:textId="77777777" w:rsidR="00774CEA" w:rsidRDefault="00000000">
      <w:pPr>
        <w:spacing w:after="55" w:line="259" w:lineRule="auto"/>
        <w:ind w:left="14" w:firstLine="0"/>
      </w:pPr>
      <w:r>
        <w:rPr>
          <w:sz w:val="21"/>
        </w:rPr>
        <w:t xml:space="preserve"> </w:t>
      </w:r>
      <w:r>
        <w:t xml:space="preserve"> </w:t>
      </w:r>
    </w:p>
    <w:p w14:paraId="32732A32" w14:textId="77777777" w:rsidR="00774CEA" w:rsidRPr="00C945FF" w:rsidRDefault="00000000">
      <w:pPr>
        <w:spacing w:after="0" w:line="259" w:lineRule="auto"/>
        <w:ind w:left="-5"/>
        <w:rPr>
          <w:b/>
          <w:bCs/>
          <w:color w:val="0D0D0D" w:themeColor="text1" w:themeTint="F2"/>
        </w:rPr>
      </w:pPr>
      <w:r w:rsidRPr="00C945FF">
        <w:rPr>
          <w:b/>
          <w:bCs/>
          <w:color w:val="0D0D0D" w:themeColor="text1" w:themeTint="F2"/>
          <w:sz w:val="24"/>
        </w:rPr>
        <w:t xml:space="preserve">ADDED VALUE </w:t>
      </w:r>
      <w:r w:rsidRPr="00C945FF">
        <w:rPr>
          <w:b/>
          <w:bCs/>
          <w:color w:val="0D0D0D" w:themeColor="text1" w:themeTint="F2"/>
        </w:rPr>
        <w:t xml:space="preserve"> </w:t>
      </w:r>
    </w:p>
    <w:p w14:paraId="6C4B686D" w14:textId="373BCF03" w:rsidR="00774CEA" w:rsidRPr="00765ADF" w:rsidRDefault="00000000" w:rsidP="004900D6">
      <w:pPr>
        <w:spacing w:after="65"/>
        <w:ind w:left="9"/>
        <w:rPr>
          <w:rFonts w:ascii="Verdana Pro" w:hAnsi="Verdana Pro"/>
          <w:b/>
          <w:bCs/>
          <w:sz w:val="20"/>
          <w:szCs w:val="20"/>
        </w:rPr>
      </w:pPr>
      <w:r w:rsidRPr="00765ADF">
        <w:rPr>
          <w:rFonts w:ascii="Verdana Pro" w:hAnsi="Verdana Pro"/>
          <w:sz w:val="20"/>
          <w:szCs w:val="20"/>
        </w:rPr>
        <w:t xml:space="preserve">Each participating agency receives </w:t>
      </w:r>
      <w:r w:rsidRPr="00765ADF">
        <w:rPr>
          <w:rFonts w:ascii="Verdana Pro" w:hAnsi="Verdana Pro"/>
          <w:b/>
          <w:bCs/>
          <w:sz w:val="20"/>
          <w:szCs w:val="20"/>
        </w:rPr>
        <w:t>the DPA Program and a one-year subscription to the VMA Training and Resources Center, which includes access to our Employer–Employee Relations publications</w:t>
      </w:r>
      <w:r w:rsidR="00D45065">
        <w:rPr>
          <w:rFonts w:ascii="Verdana Pro" w:hAnsi="Verdana Pro"/>
          <w:b/>
          <w:bCs/>
          <w:sz w:val="20"/>
          <w:szCs w:val="20"/>
        </w:rPr>
        <w:t>.</w:t>
      </w:r>
      <w:r w:rsidRPr="00765ADF">
        <w:rPr>
          <w:rFonts w:ascii="Verdana Pro" w:hAnsi="Verdana Pro"/>
          <w:b/>
          <w:bCs/>
          <w:sz w:val="20"/>
          <w:szCs w:val="20"/>
        </w:rPr>
        <w:t xml:space="preserve">   </w:t>
      </w:r>
    </w:p>
    <w:p w14:paraId="23F2005B" w14:textId="77777777" w:rsidR="00774CEA" w:rsidRDefault="00000000">
      <w:pPr>
        <w:pStyle w:val="Heading1"/>
        <w:ind w:left="330"/>
        <w:jc w:val="center"/>
      </w:pPr>
      <w:proofErr w:type="gramStart"/>
      <w:r>
        <w:rPr>
          <w:color w:val="000000"/>
          <w:sz w:val="28"/>
          <w:u w:val="single" w:color="000000"/>
        </w:rPr>
        <w:t>Webinar</w:t>
      </w:r>
      <w:proofErr w:type="gramEnd"/>
      <w:r>
        <w:rPr>
          <w:color w:val="000000"/>
          <w:sz w:val="28"/>
          <w:u w:val="single" w:color="000000"/>
        </w:rPr>
        <w:t xml:space="preserve"> live</w:t>
      </w:r>
      <w:r>
        <w:rPr>
          <w:color w:val="000000"/>
          <w:sz w:val="28"/>
        </w:rPr>
        <w:t xml:space="preserve"> </w:t>
      </w:r>
      <w:r>
        <w:t xml:space="preserve"> </w:t>
      </w:r>
    </w:p>
    <w:p w14:paraId="1604661F" w14:textId="09FDDD2F" w:rsidR="00774CEA" w:rsidRPr="00765ADF" w:rsidRDefault="004900D6">
      <w:pPr>
        <w:spacing w:after="44" w:line="259" w:lineRule="auto"/>
        <w:ind w:left="327" w:firstLine="0"/>
        <w:jc w:val="center"/>
        <w:rPr>
          <w:b/>
          <w:bCs/>
          <w:color w:val="auto"/>
        </w:rPr>
      </w:pPr>
      <w:r w:rsidRPr="00765ADF">
        <w:rPr>
          <w:b/>
          <w:bCs/>
          <w:color w:val="auto"/>
          <w:sz w:val="24"/>
        </w:rPr>
        <w:t>May</w:t>
      </w:r>
      <w:r w:rsidR="00000000" w:rsidRPr="00765ADF">
        <w:rPr>
          <w:b/>
          <w:bCs/>
          <w:color w:val="auto"/>
          <w:sz w:val="24"/>
        </w:rPr>
        <w:t xml:space="preserve"> 28, </w:t>
      </w:r>
      <w:proofErr w:type="gramStart"/>
      <w:r w:rsidR="00000000" w:rsidRPr="00765ADF">
        <w:rPr>
          <w:b/>
          <w:bCs/>
          <w:color w:val="auto"/>
          <w:sz w:val="24"/>
        </w:rPr>
        <w:t>2026</w:t>
      </w:r>
      <w:proofErr w:type="gramEnd"/>
      <w:r w:rsidR="00000000" w:rsidRPr="00765ADF">
        <w:rPr>
          <w:b/>
          <w:bCs/>
          <w:color w:val="auto"/>
          <w:sz w:val="24"/>
        </w:rPr>
        <w:t xml:space="preserve"> from 1:30-3:30pm EST </w:t>
      </w:r>
      <w:r w:rsidR="00000000" w:rsidRPr="00765ADF">
        <w:rPr>
          <w:b/>
          <w:bCs/>
          <w:color w:val="auto"/>
        </w:rPr>
        <w:t xml:space="preserve"> </w:t>
      </w:r>
    </w:p>
    <w:p w14:paraId="41CE7C8B" w14:textId="77777777" w:rsidR="00774CEA" w:rsidRPr="00765ADF" w:rsidRDefault="00000000">
      <w:pPr>
        <w:spacing w:after="9" w:line="259" w:lineRule="auto"/>
        <w:ind w:left="1046"/>
        <w:jc w:val="center"/>
        <w:rPr>
          <w:b/>
          <w:bCs/>
          <w:color w:val="auto"/>
        </w:rPr>
      </w:pPr>
      <w:r w:rsidRPr="00765ADF">
        <w:rPr>
          <w:b/>
          <w:bCs/>
          <w:color w:val="auto"/>
          <w:sz w:val="24"/>
        </w:rPr>
        <w:t xml:space="preserve">Tuition: $175 first registrant, $30 each additional </w:t>
      </w:r>
      <w:r w:rsidRPr="00765ADF">
        <w:rPr>
          <w:b/>
          <w:bCs/>
          <w:color w:val="auto"/>
        </w:rPr>
        <w:t xml:space="preserve"> </w:t>
      </w:r>
    </w:p>
    <w:p w14:paraId="298CACB3" w14:textId="77777777" w:rsidR="00774CEA" w:rsidRPr="00765ADF" w:rsidRDefault="00000000">
      <w:pPr>
        <w:spacing w:after="9" w:line="259" w:lineRule="auto"/>
        <w:ind w:left="1046" w:right="2"/>
        <w:jc w:val="center"/>
        <w:rPr>
          <w:b/>
          <w:bCs/>
          <w:color w:val="auto"/>
        </w:rPr>
      </w:pPr>
      <w:proofErr w:type="gramStart"/>
      <w:r w:rsidRPr="00765ADF">
        <w:rPr>
          <w:b/>
          <w:bCs/>
          <w:color w:val="auto"/>
          <w:sz w:val="24"/>
        </w:rPr>
        <w:t>P.O’s</w:t>
      </w:r>
      <w:proofErr w:type="gramEnd"/>
      <w:r w:rsidRPr="00765ADF">
        <w:rPr>
          <w:b/>
          <w:bCs/>
          <w:color w:val="auto"/>
          <w:sz w:val="24"/>
        </w:rPr>
        <w:t xml:space="preserve">, Vouchers, Claims, CC, Checks accepted </w:t>
      </w:r>
      <w:r w:rsidRPr="00765ADF">
        <w:rPr>
          <w:b/>
          <w:bCs/>
          <w:color w:val="auto"/>
        </w:rPr>
        <w:t xml:space="preserve"> </w:t>
      </w:r>
    </w:p>
    <w:p w14:paraId="14CA1E74" w14:textId="77777777" w:rsidR="00774CEA" w:rsidRDefault="00000000">
      <w:pPr>
        <w:spacing w:after="81" w:line="259" w:lineRule="auto"/>
        <w:ind w:left="1197" w:firstLine="0"/>
        <w:jc w:val="center"/>
      </w:pPr>
      <w:r>
        <w:rPr>
          <w:color w:val="403F42"/>
          <w:sz w:val="18"/>
        </w:rPr>
        <w:t xml:space="preserve"> </w:t>
      </w:r>
      <w:r>
        <w:t xml:space="preserve"> </w:t>
      </w:r>
    </w:p>
    <w:p w14:paraId="28FF104C" w14:textId="77777777" w:rsidR="00774CEA" w:rsidRDefault="00000000">
      <w:pPr>
        <w:spacing w:after="0" w:line="259" w:lineRule="auto"/>
        <w:ind w:left="0" w:right="68" w:firstLine="0"/>
        <w:jc w:val="center"/>
      </w:pPr>
      <w:r>
        <w:rPr>
          <w:sz w:val="18"/>
        </w:rPr>
        <w:t xml:space="preserve"> </w:t>
      </w:r>
      <w:r>
        <w:rPr>
          <w:color w:val="C00000"/>
          <w:sz w:val="24"/>
          <w:u w:val="single" w:color="C00000"/>
        </w:rPr>
        <w:t>Register Online lower left</w:t>
      </w:r>
      <w:r>
        <w:rPr>
          <w:color w:val="C00000"/>
          <w:sz w:val="24"/>
        </w:rPr>
        <w:t xml:space="preserve">        Call 800.331.8025      Or Email: vanmeterassociates@att.net</w:t>
      </w:r>
      <w:r>
        <w:rPr>
          <w:color w:val="403F42"/>
          <w:sz w:val="24"/>
        </w:rPr>
        <w:t xml:space="preserve"> </w:t>
      </w:r>
      <w:r>
        <w:rPr>
          <w:color w:val="C00000"/>
          <w:sz w:val="24"/>
        </w:rPr>
        <w:t xml:space="preserve"> </w:t>
      </w:r>
    </w:p>
    <w:p w14:paraId="5C210A60" w14:textId="55C70A05" w:rsidR="00774CEA" w:rsidRDefault="00000000">
      <w:pPr>
        <w:tabs>
          <w:tab w:val="center" w:pos="5460"/>
        </w:tabs>
        <w:spacing w:after="80" w:line="259" w:lineRule="auto"/>
        <w:ind w:left="0" w:firstLine="0"/>
      </w:pPr>
      <w:r>
        <w:t xml:space="preserve"> </w:t>
      </w:r>
      <w:r>
        <w:tab/>
      </w:r>
      <w:r>
        <w:rPr>
          <w:color w:val="403F42"/>
          <w:sz w:val="20"/>
        </w:rPr>
        <w:t></w:t>
      </w:r>
      <w:r w:rsidR="00D60F56">
        <w:rPr>
          <w:noProof/>
        </w:rPr>
        <w:drawing>
          <wp:anchor distT="0" distB="0" distL="114300" distR="114300" simplePos="0" relativeHeight="251658240" behindDoc="0" locked="0" layoutInCell="1" allowOverlap="1" wp14:anchorId="4FD84EB0" wp14:editId="4FB4EB1B">
            <wp:simplePos x="0" y="0"/>
            <wp:positionH relativeFrom="column">
              <wp:posOffset>3190240</wp:posOffset>
            </wp:positionH>
            <wp:positionV relativeFrom="paragraph">
              <wp:posOffset>-2540</wp:posOffset>
            </wp:positionV>
            <wp:extent cx="652145" cy="488950"/>
            <wp:effectExtent l="0" t="0" r="0" b="6350"/>
            <wp:wrapNone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3F42"/>
          <w:sz w:val="20"/>
        </w:rPr>
        <w:t xml:space="preserve"> </w:t>
      </w:r>
      <w:r>
        <w:rPr>
          <w:color w:val="403F42"/>
          <w:sz w:val="18"/>
        </w:rPr>
        <w:t xml:space="preserve"> </w:t>
      </w:r>
      <w:r>
        <w:t xml:space="preserve"> </w:t>
      </w:r>
    </w:p>
    <w:p w14:paraId="313C0DA7" w14:textId="2B3382AD" w:rsidR="00774CEA" w:rsidRDefault="00000000" w:rsidP="004900D6">
      <w:pPr>
        <w:spacing w:after="0" w:line="259" w:lineRule="auto"/>
        <w:ind w:left="710" w:firstLine="0"/>
        <w:jc w:val="center"/>
      </w:pPr>
      <w:r>
        <w:rPr>
          <w:sz w:val="24"/>
        </w:rPr>
        <w:t xml:space="preserve">     </w:t>
      </w:r>
    </w:p>
    <w:p w14:paraId="13E19244" w14:textId="77777777" w:rsidR="00D60F56" w:rsidRDefault="00D60F56" w:rsidP="00D60F56">
      <w:pPr>
        <w:spacing w:after="12" w:line="257" w:lineRule="auto"/>
        <w:ind w:right="2320"/>
        <w:jc w:val="right"/>
        <w:rPr>
          <w:sz w:val="18"/>
          <w:szCs w:val="18"/>
        </w:rPr>
      </w:pPr>
    </w:p>
    <w:p w14:paraId="67E47E88" w14:textId="3CA61DF6" w:rsidR="00774CEA" w:rsidRPr="00D60F56" w:rsidRDefault="00000000" w:rsidP="00D60F56">
      <w:pPr>
        <w:spacing w:after="12" w:line="257" w:lineRule="auto"/>
        <w:ind w:right="2320"/>
        <w:jc w:val="right"/>
        <w:rPr>
          <w:sz w:val="18"/>
          <w:szCs w:val="18"/>
        </w:rPr>
      </w:pPr>
      <w:r w:rsidRPr="00D60F56">
        <w:rPr>
          <w:sz w:val="18"/>
          <w:szCs w:val="18"/>
        </w:rPr>
        <w:t>Van Meter &amp; Associates, Inc.</w:t>
      </w:r>
      <w:r w:rsidR="00D45065">
        <w:rPr>
          <w:sz w:val="18"/>
          <w:szCs w:val="18"/>
        </w:rPr>
        <w:t>(</w:t>
      </w:r>
      <w:hyperlink r:id="rId6" w:history="1">
        <w:r w:rsidR="00D45065" w:rsidRPr="00DE40A7">
          <w:rPr>
            <w:rStyle w:val="Hyperlink"/>
            <w:sz w:val="18"/>
            <w:szCs w:val="18"/>
          </w:rPr>
          <w:t>www.vmanet.com</w:t>
        </w:r>
      </w:hyperlink>
      <w:r w:rsidR="00D45065">
        <w:rPr>
          <w:sz w:val="18"/>
          <w:szCs w:val="18"/>
        </w:rPr>
        <w:t xml:space="preserve">) </w:t>
      </w:r>
      <w:r w:rsidRPr="00D60F56">
        <w:rPr>
          <w:sz w:val="18"/>
          <w:szCs w:val="18"/>
        </w:rPr>
        <w:t>Box 21313, Columbus, Ohio 43221</w:t>
      </w:r>
    </w:p>
    <w:p w14:paraId="2C9F254F" w14:textId="33E72B30" w:rsidR="00774CEA" w:rsidRPr="00D60F56" w:rsidRDefault="00D60F56" w:rsidP="00D60F56">
      <w:pPr>
        <w:spacing w:after="66" w:line="259" w:lineRule="auto"/>
        <w:ind w:left="119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000000" w:rsidRPr="00D60F56">
        <w:rPr>
          <w:sz w:val="18"/>
          <w:szCs w:val="18"/>
        </w:rPr>
        <w:t>Ph: 800-331-8025   Or Email vanmeterassociates@att.net to remove your email.</w:t>
      </w:r>
    </w:p>
    <w:sectPr w:rsidR="00774CEA" w:rsidRPr="00D60F56">
      <w:pgSz w:w="12240" w:h="15840"/>
      <w:pgMar w:top="1440" w:right="1039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9031D"/>
    <w:multiLevelType w:val="hybridMultilevel"/>
    <w:tmpl w:val="AB6E3BC2"/>
    <w:lvl w:ilvl="0" w:tplc="CA56DCF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C737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30C5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02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C2A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AA1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6E7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8C8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CEF2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824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EA"/>
    <w:rsid w:val="00133A4D"/>
    <w:rsid w:val="004900D6"/>
    <w:rsid w:val="00765ADF"/>
    <w:rsid w:val="00774CEA"/>
    <w:rsid w:val="00A46075"/>
    <w:rsid w:val="00AA2165"/>
    <w:rsid w:val="00C945FF"/>
    <w:rsid w:val="00D45065"/>
    <w:rsid w:val="00D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E7E9"/>
  <w15:docId w15:val="{37C88636-66B7-427A-B788-05280D2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58" w:lineRule="auto"/>
      <w:ind w:left="24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Times New Roman" w:eastAsia="Times New Roman" w:hAnsi="Times New Roman" w:cs="Times New Roman"/>
      <w:color w:val="EE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EE0000"/>
      <w:sz w:val="22"/>
    </w:rPr>
  </w:style>
  <w:style w:type="character" w:styleId="Hyperlink">
    <w:name w:val="Hyperlink"/>
    <w:basedOn w:val="DefaultParagraphFont"/>
    <w:uiPriority w:val="99"/>
    <w:unhideWhenUsed/>
    <w:rsid w:val="00D450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ane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DPA Master announcement</dc:title>
  <dc:subject/>
  <dc:creator>zharon van meter</dc:creator>
  <cp:keywords/>
  <cp:lastModifiedBy>zharon van meter</cp:lastModifiedBy>
  <cp:revision>10</cp:revision>
  <cp:lastPrinted>2026-04-28T16:12:00Z</cp:lastPrinted>
  <dcterms:created xsi:type="dcterms:W3CDTF">2026-04-28T16:06:00Z</dcterms:created>
  <dcterms:modified xsi:type="dcterms:W3CDTF">2026-04-28T18:21:00Z</dcterms:modified>
</cp:coreProperties>
</file>